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29" w:rsidRPr="00E50149" w:rsidRDefault="00893229" w:rsidP="00893229">
      <w:pPr>
        <w:jc w:val="center"/>
        <w:rPr>
          <w:rFonts w:eastAsia="新細明體"/>
          <w:lang w:eastAsia="zh-TW"/>
        </w:rPr>
      </w:pPr>
    </w:p>
    <w:p w:rsidR="00893229" w:rsidRDefault="00893229" w:rsidP="00893229">
      <w:pPr>
        <w:jc w:val="center"/>
      </w:pPr>
    </w:p>
    <w:p w:rsidR="00893229" w:rsidRDefault="00893229" w:rsidP="00893229">
      <w:pPr>
        <w:jc w:val="center"/>
      </w:pPr>
    </w:p>
    <w:p w:rsidR="00893229" w:rsidRDefault="00893229" w:rsidP="00893229">
      <w:pPr>
        <w:jc w:val="center"/>
      </w:pPr>
    </w:p>
    <w:p w:rsidR="00EC6A95" w:rsidRDefault="00FE56CF" w:rsidP="0089322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05.8pt">
            <v:imagedata r:id="rId7" o:title="HKRPF logo"/>
          </v:shape>
        </w:pict>
      </w:r>
    </w:p>
    <w:p w:rsidR="00893229" w:rsidRPr="00F44FF3" w:rsidRDefault="00893229" w:rsidP="00893229">
      <w:pPr>
        <w:jc w:val="center"/>
        <w:rPr>
          <w:rFonts w:ascii="新細明體" w:eastAsia="新細明體" w:hAnsi="新細明體"/>
          <w:b/>
          <w:sz w:val="72"/>
          <w:szCs w:val="72"/>
          <w:lang w:eastAsia="zh-HK"/>
        </w:rPr>
      </w:pPr>
      <w:r w:rsidRPr="00F44FF3">
        <w:rPr>
          <w:rFonts w:ascii="新細明體" w:eastAsia="新細明體" w:hAnsi="新細明體" w:hint="eastAsia"/>
          <w:b/>
          <w:sz w:val="72"/>
          <w:szCs w:val="72"/>
          <w:lang w:eastAsia="zh-HK"/>
        </w:rPr>
        <w:t>香港房地產協會</w:t>
      </w:r>
    </w:p>
    <w:p w:rsidR="00893229" w:rsidRPr="00D94BA8" w:rsidRDefault="00893229" w:rsidP="00893229">
      <w:pPr>
        <w:jc w:val="center"/>
        <w:rPr>
          <w:rFonts w:cstheme="minorHAnsi"/>
          <w:b/>
          <w:sz w:val="56"/>
          <w:szCs w:val="56"/>
        </w:rPr>
      </w:pPr>
      <w:r w:rsidRPr="00D94BA8">
        <w:rPr>
          <w:rFonts w:cstheme="minorHAnsi"/>
          <w:b/>
          <w:sz w:val="56"/>
          <w:szCs w:val="56"/>
        </w:rPr>
        <w:t>Hong Kong Real Property Federation</w:t>
      </w:r>
    </w:p>
    <w:p w:rsidR="00893229" w:rsidRPr="00893229" w:rsidRDefault="00893229" w:rsidP="00893229">
      <w:pPr>
        <w:jc w:val="center"/>
        <w:rPr>
          <w:rFonts w:cstheme="minorHAnsi"/>
          <w:b/>
          <w:sz w:val="44"/>
          <w:szCs w:val="44"/>
        </w:rPr>
      </w:pPr>
    </w:p>
    <w:p w:rsidR="00893229" w:rsidRPr="00893229" w:rsidRDefault="00893229" w:rsidP="00893229">
      <w:pPr>
        <w:jc w:val="center"/>
        <w:rPr>
          <w:rFonts w:cstheme="minorHAnsi"/>
          <w:b/>
          <w:sz w:val="44"/>
          <w:szCs w:val="44"/>
        </w:rPr>
      </w:pPr>
    </w:p>
    <w:p w:rsidR="00893229" w:rsidRPr="00893229" w:rsidRDefault="00893229" w:rsidP="00893229">
      <w:pPr>
        <w:jc w:val="center"/>
        <w:rPr>
          <w:rFonts w:cstheme="minorHAnsi"/>
          <w:b/>
          <w:sz w:val="44"/>
          <w:szCs w:val="44"/>
        </w:rPr>
      </w:pPr>
    </w:p>
    <w:p w:rsidR="00893229" w:rsidRPr="00BD1408" w:rsidRDefault="00893229" w:rsidP="00893229">
      <w:pPr>
        <w:jc w:val="center"/>
        <w:rPr>
          <w:rFonts w:eastAsia="新細明體" w:cstheme="minorHAnsi"/>
          <w:b/>
          <w:sz w:val="72"/>
          <w:szCs w:val="72"/>
          <w:lang w:eastAsia="zh-HK"/>
        </w:rPr>
      </w:pPr>
      <w:r w:rsidRPr="00BD1408">
        <w:rPr>
          <w:rFonts w:eastAsia="新細明體" w:cstheme="minorHAnsi" w:hint="eastAsia"/>
          <w:b/>
          <w:sz w:val="72"/>
          <w:szCs w:val="72"/>
          <w:lang w:eastAsia="zh-HK"/>
        </w:rPr>
        <w:t>大灣區國際商貿互聯港</w:t>
      </w:r>
    </w:p>
    <w:p w:rsidR="00893229" w:rsidRDefault="00F44FF3" w:rsidP="00893229">
      <w:pPr>
        <w:jc w:val="center"/>
        <w:rPr>
          <w:rFonts w:eastAsia="新細明體" w:cstheme="minorHAnsi"/>
          <w:b/>
          <w:sz w:val="72"/>
          <w:szCs w:val="72"/>
          <w:lang w:eastAsia="zh-HK"/>
        </w:rPr>
      </w:pPr>
      <w:r>
        <w:rPr>
          <w:rFonts w:eastAsia="新細明體" w:cstheme="minorHAnsi" w:hint="eastAsia"/>
          <w:b/>
          <w:sz w:val="72"/>
          <w:szCs w:val="72"/>
          <w:lang w:eastAsia="zh-HK"/>
        </w:rPr>
        <w:t>建議書</w:t>
      </w:r>
    </w:p>
    <w:p w:rsidR="00FC555C" w:rsidRPr="00243CA8" w:rsidRDefault="00FC555C" w:rsidP="00FC555C">
      <w:pPr>
        <w:widowControl w:val="0"/>
        <w:adjustRightInd w:val="0"/>
        <w:snapToGrid w:val="0"/>
        <w:spacing w:after="0" w:line="480" w:lineRule="auto"/>
        <w:ind w:leftChars="236" w:left="519"/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r w:rsidRPr="00243CA8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目錄</w:t>
      </w:r>
    </w:p>
    <w:p w:rsidR="00FC555C" w:rsidRPr="007A4F8E" w:rsidRDefault="00FC555C" w:rsidP="00FC555C">
      <w:pPr>
        <w:widowControl w:val="0"/>
        <w:numPr>
          <w:ilvl w:val="0"/>
          <w:numId w:val="1"/>
        </w:numPr>
        <w:adjustRightInd w:val="0"/>
        <w:snapToGrid w:val="0"/>
        <w:spacing w:after="0" w:line="360" w:lineRule="auto"/>
        <w:ind w:leftChars="236" w:left="1239"/>
        <w:rPr>
          <w:rFonts w:ascii="標楷體" w:eastAsia="標楷體" w:hAnsi="標楷體" w:cs="Times New Roman"/>
          <w:b/>
          <w:kern w:val="2"/>
          <w:sz w:val="28"/>
          <w:szCs w:val="28"/>
        </w:rPr>
      </w:pPr>
      <w:bookmarkStart w:id="0" w:name="_Hlk524512145"/>
      <w:bookmarkStart w:id="1" w:name="_Hlk524512102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前言</w:t>
      </w:r>
    </w:p>
    <w:p w:rsidR="00FC555C" w:rsidRPr="007A4F8E" w:rsidRDefault="00FC555C" w:rsidP="00FC555C">
      <w:pPr>
        <w:widowControl w:val="0"/>
        <w:numPr>
          <w:ilvl w:val="0"/>
          <w:numId w:val="1"/>
        </w:numPr>
        <w:adjustRightInd w:val="0"/>
        <w:snapToGrid w:val="0"/>
        <w:spacing w:after="0" w:line="360" w:lineRule="auto"/>
        <w:ind w:leftChars="236" w:left="1239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bookmarkStart w:id="2" w:name="_Hlk524513504"/>
      <w:bookmarkEnd w:id="0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建立</w:t>
      </w:r>
      <w:bookmarkStart w:id="3" w:name="_Hlk524515271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「</w:t>
      </w:r>
      <w:bookmarkEnd w:id="3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大灣區國際商</w:t>
      </w:r>
      <w:proofErr w:type="gramStart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貿互聯港</w:t>
      </w:r>
      <w:proofErr w:type="gramEnd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」的意義及可行性</w:t>
      </w:r>
    </w:p>
    <w:p w:rsidR="00FC555C" w:rsidRPr="00FC555C" w:rsidRDefault="00FC555C" w:rsidP="00FC555C">
      <w:pPr>
        <w:widowControl w:val="0"/>
        <w:tabs>
          <w:tab w:val="left" w:pos="1276"/>
        </w:tabs>
        <w:adjustRightInd w:val="0"/>
        <w:snapToGrid w:val="0"/>
        <w:spacing w:after="0" w:line="360" w:lineRule="auto"/>
        <w:ind w:leftChars="536" w:left="117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1.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定位為「粵港澳大灣區」建設的重點項目</w:t>
      </w:r>
    </w:p>
    <w:p w:rsidR="00FC555C" w:rsidRPr="00FC555C" w:rsidRDefault="00FC555C" w:rsidP="00FC555C">
      <w:pPr>
        <w:widowControl w:val="0"/>
        <w:tabs>
          <w:tab w:val="left" w:pos="1276"/>
        </w:tabs>
        <w:adjustRightInd w:val="0"/>
        <w:snapToGrid w:val="0"/>
        <w:spacing w:after="0" w:line="360" w:lineRule="auto"/>
        <w:ind w:leftChars="536" w:left="1179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2.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中央政策支持下，深化粵港合作</w:t>
      </w:r>
    </w:p>
    <w:bookmarkEnd w:id="2"/>
    <w:p w:rsidR="00FC555C" w:rsidRPr="007A4F8E" w:rsidRDefault="00FC555C" w:rsidP="00FC555C">
      <w:pPr>
        <w:widowControl w:val="0"/>
        <w:numPr>
          <w:ilvl w:val="0"/>
          <w:numId w:val="1"/>
        </w:numPr>
        <w:adjustRightInd w:val="0"/>
        <w:snapToGrid w:val="0"/>
        <w:spacing w:after="0" w:line="360" w:lineRule="auto"/>
        <w:ind w:leftChars="236" w:left="1239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項目實施方案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DengXian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1.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填海區域的選定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DengXian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2.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土地分區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DengXian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3.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用地功能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bookmarkStart w:id="4" w:name="_Hlk524685853"/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4.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就業機會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5.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交通配套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DengXian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6.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財務安排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360" w:lineRule="auto"/>
        <w:ind w:leftChars="548" w:left="1206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7.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監管機制</w:t>
      </w:r>
    </w:p>
    <w:p w:rsidR="00FC555C" w:rsidRPr="007A4F8E" w:rsidRDefault="00FC555C" w:rsidP="00FC555C">
      <w:pPr>
        <w:widowControl w:val="0"/>
        <w:numPr>
          <w:ilvl w:val="0"/>
          <w:numId w:val="1"/>
        </w:numPr>
        <w:adjustRightInd w:val="0"/>
        <w:snapToGrid w:val="0"/>
        <w:spacing w:after="0" w:line="360" w:lineRule="auto"/>
        <w:ind w:leftChars="236" w:left="1239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bookmarkStart w:id="5" w:name="_Hlk524895489"/>
      <w:bookmarkEnd w:id="4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「大灣區國際商</w:t>
      </w:r>
      <w:proofErr w:type="gramStart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貿互聯港</w:t>
      </w:r>
      <w:proofErr w:type="gramEnd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」</w:t>
      </w:r>
      <w:bookmarkEnd w:id="5"/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方案的優點</w:t>
      </w:r>
    </w:p>
    <w:p w:rsidR="00FC555C" w:rsidRPr="00FC555C" w:rsidRDefault="00FC555C" w:rsidP="007A4F8E">
      <w:pPr>
        <w:widowControl w:val="0"/>
        <w:numPr>
          <w:ilvl w:val="0"/>
          <w:numId w:val="2"/>
        </w:numPr>
        <w:adjustRightInd w:val="0"/>
        <w:snapToGrid w:val="0"/>
        <w:spacing w:after="0" w:line="360" w:lineRule="auto"/>
        <w:ind w:left="1624" w:hanging="406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速見成效</w:t>
      </w:r>
      <w:proofErr w:type="gramEnd"/>
    </w:p>
    <w:p w:rsidR="00FC555C" w:rsidRPr="00FC555C" w:rsidRDefault="00FC555C" w:rsidP="007A4F8E">
      <w:pPr>
        <w:widowControl w:val="0"/>
        <w:numPr>
          <w:ilvl w:val="0"/>
          <w:numId w:val="2"/>
        </w:numPr>
        <w:adjustRightInd w:val="0"/>
        <w:snapToGrid w:val="0"/>
        <w:spacing w:after="0" w:line="360" w:lineRule="auto"/>
        <w:ind w:leftChars="548" w:left="1599" w:hanging="393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工程費用比較</w:t>
      </w:r>
    </w:p>
    <w:p w:rsidR="00FC555C" w:rsidRPr="00FC555C" w:rsidRDefault="00FC555C" w:rsidP="007A4F8E">
      <w:pPr>
        <w:widowControl w:val="0"/>
        <w:numPr>
          <w:ilvl w:val="0"/>
          <w:numId w:val="2"/>
        </w:numPr>
        <w:adjustRightInd w:val="0"/>
        <w:snapToGrid w:val="0"/>
        <w:spacing w:after="0" w:line="360" w:lineRule="auto"/>
        <w:ind w:leftChars="542" w:left="1585" w:hanging="393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大量土地供長遠發展</w:t>
      </w:r>
    </w:p>
    <w:p w:rsidR="00FC555C" w:rsidRPr="007A4F8E" w:rsidRDefault="00FC555C" w:rsidP="00FC555C">
      <w:pPr>
        <w:widowControl w:val="0"/>
        <w:tabs>
          <w:tab w:val="left" w:pos="567"/>
        </w:tabs>
        <w:adjustRightInd w:val="0"/>
        <w:snapToGrid w:val="0"/>
        <w:spacing w:after="0" w:line="360" w:lineRule="auto"/>
        <w:ind w:leftChars="236" w:left="519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7A4F8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五.  總結</w:t>
      </w:r>
    </w:p>
    <w:bookmarkEnd w:id="1"/>
    <w:p w:rsidR="00FC555C" w:rsidRPr="00FC555C" w:rsidRDefault="00FC555C" w:rsidP="00FC555C">
      <w:pPr>
        <w:spacing w:after="0" w:line="240" w:lineRule="auto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sz w:val="28"/>
          <w:szCs w:val="28"/>
          <w:lang w:eastAsia="zh-TW"/>
        </w:rPr>
        <w:br w:type="page"/>
      </w:r>
    </w:p>
    <w:p w:rsidR="00FC555C" w:rsidRPr="00FC555C" w:rsidRDefault="00FC555C" w:rsidP="00FC555C">
      <w:pPr>
        <w:widowControl w:val="0"/>
        <w:numPr>
          <w:ilvl w:val="1"/>
          <w:numId w:val="1"/>
        </w:numPr>
        <w:adjustRightInd w:val="0"/>
        <w:snapToGrid w:val="0"/>
        <w:spacing w:after="0" w:line="480" w:lineRule="auto"/>
        <w:ind w:left="993" w:hanging="567"/>
        <w:rPr>
          <w:rFonts w:ascii="標楷體" w:eastAsia="DengXian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lastRenderedPageBreak/>
        <w:t>前言</w:t>
      </w:r>
    </w:p>
    <w:p w:rsidR="00FC555C" w:rsidRDefault="00FC555C" w:rsidP="00FC555C">
      <w:pPr>
        <w:widowControl w:val="0"/>
        <w:adjustRightInd w:val="0"/>
        <w:snapToGrid w:val="0"/>
        <w:spacing w:after="0" w:line="480" w:lineRule="auto"/>
        <w:ind w:left="993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香港欠缺土地，不單是影響民生的居住問題，如果未能提供更多土地，將會窒礙香港長遠經濟發展，更會</w:t>
      </w:r>
      <w:r w:rsidR="009D2A47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大大地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增加社會潛伏</w:t>
      </w:r>
      <w:r w:rsidR="009D2A47" w:rsidRPr="009D2A47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着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不穩定的危機因素。無論香港特區政府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如何迎難而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上，每項新闢土地的建議都會碰到不同市民、壓力團體及政客的反對聲音。今次政府成立土地專責小組，向社會收集增加土地的意見，反應相當熱列，做到各抒不同意見。但縱觀每一項建議的實行，都存在</w:t>
      </w:r>
      <w:r w:rsidR="00AD6489" w:rsidRPr="00AD6489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着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一定的局限性，並需要有一段頗長的時間才能實施及達成。</w:t>
      </w:r>
      <w:r w:rsidR="00A10303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因此，</w:t>
      </w:r>
      <w:r w:rsidR="00F43076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本會</w:t>
      </w:r>
      <w:r w:rsidR="00A10303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請特區政府在是次尋找土地建屋時，</w:t>
      </w:r>
      <w:r w:rsidR="007F05D5" w:rsidRPr="007F05D5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採</w:t>
      </w:r>
      <w:r w:rsidR="00A10303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用如救災心態，</w:t>
      </w:r>
      <w:r w:rsidR="00F43076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果斷地決定去進行</w:t>
      </w:r>
      <w:r w:rsidR="00F43076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</w:t>
      </w:r>
      <w:r w:rsidR="00A10303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令市民看到快速實現</w:t>
      </w:r>
      <w:r w:rsidR="009B2000" w:rsidRPr="009B200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上樓</w:t>
      </w:r>
      <w:r w:rsidR="00A10303" w:rsidRPr="009B200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的前</w:t>
      </w:r>
      <w:r w:rsidR="00A10303" w:rsidRPr="00A103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景，對政府所做的投下更有信心的一票。</w:t>
      </w:r>
      <w:r w:rsidRPr="00F43076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本報告的目的是針對能夠</w:t>
      </w:r>
      <w:r w:rsidRPr="00A10303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在動工後三年內，就能提供大量土地、彰顯成效而制定。</w:t>
      </w:r>
    </w:p>
    <w:p w:rsidR="00A10303" w:rsidRPr="00FC555C" w:rsidRDefault="00A10303" w:rsidP="00FC555C">
      <w:pPr>
        <w:widowControl w:val="0"/>
        <w:adjustRightInd w:val="0"/>
        <w:snapToGrid w:val="0"/>
        <w:spacing w:after="0" w:line="480" w:lineRule="auto"/>
        <w:ind w:left="993"/>
        <w:jc w:val="both"/>
        <w:rPr>
          <w:rFonts w:ascii="標楷體" w:eastAsia="DengXian" w:hAnsi="標楷體" w:cs="Times New Roman"/>
          <w:kern w:val="2"/>
          <w:sz w:val="28"/>
          <w:szCs w:val="28"/>
          <w:lang w:eastAsia="zh-TW"/>
        </w:rPr>
      </w:pP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177" w:left="389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二．建立「大灣區國際商</w:t>
      </w:r>
      <w:proofErr w:type="gramStart"/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貿互聯港</w:t>
      </w:r>
      <w:proofErr w:type="gramEnd"/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」的意義及可行性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="960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香港西側緊鄰廣東海域，該區域不僅具備擴展陸地面積的潛力，亦由於同時鄰近粵港兩地，具有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便利粵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港合作的區位優勢。為此，在中央大力支持發展「粵港澳大灣區」的政策背景下，本會建議香港特區政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府與廣東省合作積極爭取國家的政策支持，探索在香港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西側屬廣東省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海域的範圍內進行大規模填海，共同開發「大灣區國際商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港」，實現互利共贏。</w:t>
      </w:r>
    </w:p>
    <w:p w:rsidR="00FC555C" w:rsidRPr="00FC555C" w:rsidRDefault="00FC555C" w:rsidP="00FC555C">
      <w:pPr>
        <w:widowControl w:val="0"/>
        <w:numPr>
          <w:ilvl w:val="0"/>
          <w:numId w:val="3"/>
        </w:numPr>
        <w:adjustRightInd w:val="0"/>
        <w:snapToGrid w:val="0"/>
        <w:spacing w:after="0" w:line="480" w:lineRule="auto"/>
        <w:ind w:left="1134" w:hanging="425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定位爲「粵港澳大灣區」建設的重點項目</w:t>
      </w:r>
      <w:r w:rsidRPr="00FC555C">
        <w:rPr>
          <w:rFonts w:ascii="標楷體" w:eastAsia="DengXian" w:hAnsi="標楷體" w:cs="Times New Roman" w:hint="eastAsia"/>
          <w:b/>
          <w:kern w:val="2"/>
          <w:sz w:val="28"/>
          <w:szCs w:val="28"/>
          <w:lang w:eastAsia="zh-TW"/>
        </w:rPr>
        <w:t xml:space="preserve"> </w:t>
      </w: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：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中央政府推行國策，倡議「一帶一路」及「粵港澳大灣區」項目。香港是大灣區項目的重要成員，如果能利用本身的金融、法制、自由港及完善的知識產權保護制度等的優勢，引領廣東九個城市及澳門特區共同與世界聯繫，令香港藉</w:t>
      </w:r>
      <w:r w:rsidR="006301E0" w:rsidRPr="006301E0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着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今次機遇再來一次起飛，相信中央亦予樂見。</w:t>
      </w:r>
    </w:p>
    <w:p w:rsidR="00FC555C" w:rsidRPr="00690BDE" w:rsidRDefault="00FC555C" w:rsidP="00690BDE">
      <w:pPr>
        <w:widowControl w:val="0"/>
        <w:numPr>
          <w:ilvl w:val="0"/>
          <w:numId w:val="3"/>
        </w:numPr>
        <w:adjustRightInd w:val="0"/>
        <w:snapToGrid w:val="0"/>
        <w:spacing w:after="0" w:line="480" w:lineRule="auto"/>
        <w:ind w:left="1134"/>
        <w:jc w:val="both"/>
        <w:rPr>
          <w:rFonts w:ascii="Arial" w:eastAsia="新細明體" w:hAnsi="Arial" w:cs="Arial"/>
          <w:kern w:val="2"/>
          <w:sz w:val="28"/>
          <w:szCs w:val="28"/>
          <w:lang w:eastAsia="zh-TW"/>
        </w:rPr>
      </w:pPr>
      <w:r w:rsidRPr="00690BDE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中央政策支持下，深化粵港合作</w:t>
      </w:r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：香港的事應該由香港自行解決，這是正確的。但</w:t>
      </w:r>
      <w:r w:rsidR="00EC465A" w:rsidRPr="00690BDE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採</w:t>
      </w:r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用香港特區與廣東省互相合作的策略，解決民生及長遠經濟發展問題，亦未嘗不可。如</w:t>
      </w:r>
      <w:proofErr w:type="gramStart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港珠澳</w:t>
      </w:r>
      <w:proofErr w:type="gramEnd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大橋</w:t>
      </w:r>
      <w:bookmarkStart w:id="6" w:name="_Hlk524628934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、</w:t>
      </w:r>
      <w:bookmarkEnd w:id="6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建造高鐵</w:t>
      </w:r>
      <w:bookmarkStart w:id="7" w:name="_Hlk524522814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、</w:t>
      </w:r>
      <w:bookmarkEnd w:id="7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深圳灣口岸、東江水的供應、深圳河套區合作計劃等，都是中港合作共創的成果。澳門特區政府於2015年獲國務院通過，將澳門水域擴大，有利日後以填海來增闢土地，這方法值得仿效。今次土地專責小組徵詢意見時，難得建制和</w:t>
      </w:r>
      <w:proofErr w:type="gramStart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部分泛民人士</w:t>
      </w:r>
      <w:proofErr w:type="gramEnd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都不約而同，建議香港特區政府向中央提請增</w:t>
      </w:r>
      <w:proofErr w:type="gramStart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撥</w:t>
      </w:r>
      <w:proofErr w:type="gramEnd"/>
      <w:r w:rsidRPr="00690BDE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海權用作填海。可説是已跳出現有框架思維，以尋求新的解決土地途徑的良策。</w:t>
      </w:r>
      <w:r w:rsidRPr="00690BDE">
        <w:rPr>
          <w:rFonts w:ascii="Arial" w:eastAsia="新細明體" w:hAnsi="Arial" w:cs="Arial"/>
          <w:sz w:val="28"/>
          <w:szCs w:val="28"/>
          <w:lang w:eastAsia="zh-TW"/>
        </w:rPr>
        <w:br w:type="page"/>
      </w:r>
    </w:p>
    <w:p w:rsidR="00FC555C" w:rsidRPr="00FC555C" w:rsidRDefault="00FC555C" w:rsidP="00FC555C">
      <w:pPr>
        <w:widowControl w:val="0"/>
        <w:numPr>
          <w:ilvl w:val="0"/>
          <w:numId w:val="4"/>
        </w:numPr>
        <w:adjustRightInd w:val="0"/>
        <w:snapToGrid w:val="0"/>
        <w:spacing w:after="0" w:line="480" w:lineRule="auto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lastRenderedPageBreak/>
        <w:t>項目實施方案</w:t>
      </w:r>
    </w:p>
    <w:p w:rsidR="00FC555C" w:rsidRPr="00FC555C" w:rsidRDefault="00FC555C" w:rsidP="005C1798">
      <w:pPr>
        <w:widowControl w:val="0"/>
        <w:numPr>
          <w:ilvl w:val="0"/>
          <w:numId w:val="5"/>
        </w:numPr>
        <w:adjustRightInd w:val="0"/>
        <w:snapToGrid w:val="0"/>
        <w:spacing w:after="0" w:line="480" w:lineRule="auto"/>
        <w:ind w:left="851" w:hanging="425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填海區域的選定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54" w:left="779" w:firstLine="66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如圖</w:t>
      </w:r>
      <w:r w:rsidR="00D039D3" w:rsidRPr="00D039D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一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建議填海區域示意圖所示，本會建議積極探討在香港西側，屬廣東省近珠海市海域的桂山島</w:t>
      </w:r>
      <w:r w:rsidR="000F7850">
        <w:rPr>
          <w:rFonts w:ascii="標楷體" w:hAnsi="標楷體" w:cs="Times New Roman" w:hint="eastAsia"/>
          <w:kern w:val="2"/>
          <w:sz w:val="28"/>
          <w:szCs w:val="28"/>
          <w:lang w:eastAsia="zh-TW"/>
        </w:rPr>
        <w:t>（</w:t>
      </w:r>
      <w:r w:rsidR="00E50149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需要搬遷島上居民約二千人</w:t>
      </w:r>
      <w:r w:rsidR="000F7850" w:rsidRPr="000F7850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及</w:t>
      </w:r>
      <w:r w:rsidR="00E50149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賠償產業</w:t>
      </w:r>
      <w:r w:rsidR="000F7850">
        <w:rPr>
          <w:rFonts w:ascii="標楷體" w:hAnsi="標楷體" w:cs="Times New Roman"/>
          <w:kern w:val="2"/>
          <w:sz w:val="28"/>
          <w:szCs w:val="28"/>
          <w:lang w:eastAsia="zh-TW"/>
        </w:rPr>
        <w:t>）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及其西側進行大規模填海。其中：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44" w:left="1568" w:hanging="811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（A）</w:t>
      </w:r>
      <w:r w:rsidRPr="00FC555C">
        <w:rPr>
          <w:rFonts w:ascii="DengXian" w:eastAsia="新細明體" w:hAnsi="DengXian" w:cs="Times New Roman" w:hint="eastAsia"/>
          <w:kern w:val="2"/>
          <w:sz w:val="28"/>
          <w:szCs w:val="28"/>
          <w:lang w:eastAsia="zh-TW"/>
        </w:rPr>
        <w:tab/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該海域屬內地管轄區，若在中央政策支持下與廣東省合作填海開發，有望在短期內落實快速完成； 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28" w:left="1570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（B）</w:t>
      </w:r>
      <w:r w:rsidRPr="00FC555C">
        <w:rPr>
          <w:rFonts w:ascii="DengXian" w:eastAsia="新細明體" w:hAnsi="DengXian" w:cs="Times New Roman" w:hint="eastAsia"/>
          <w:kern w:val="2"/>
          <w:sz w:val="28"/>
          <w:szCs w:val="28"/>
          <w:lang w:eastAsia="zh-TW"/>
        </w:rPr>
        <w:tab/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桂山島面積約10平方公里，</w:t>
      </w:r>
      <w:r w:rsidR="00E50149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其北面距香港大嶼山約3海里,甚為接近</w:t>
      </w:r>
      <w:r w:rsidR="00AD6E04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香港,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建議通過填海最終形成規模達130平方公里的新增土地； 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28" w:left="1570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（C）</w:t>
      </w:r>
      <w:r w:rsidRPr="00FC555C">
        <w:rPr>
          <w:rFonts w:ascii="DengXian" w:eastAsia="新細明體" w:hAnsi="DengXian" w:cs="Times New Roman" w:hint="eastAsia"/>
          <w:kern w:val="2"/>
          <w:sz w:val="28"/>
          <w:szCs w:val="28"/>
          <w:lang w:eastAsia="zh-TW"/>
        </w:rPr>
        <w:tab/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考慮到填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海物料沉降需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時約3年，因此建議首期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在桂山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島已有陸域開山平整土地和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近岸填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海，從而在短期内（約三年）獲得10-15平方公里的陸域面積，盡快啟動「大灣區國際商貿互聯港」的開發建設；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28" w:left="1570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（D）</w:t>
      </w:r>
      <w:r w:rsidRPr="00FC555C">
        <w:rPr>
          <w:rFonts w:ascii="DengXian" w:eastAsia="新細明體" w:hAnsi="DengXian" w:cs="Times New Roman" w:hint="eastAsia"/>
          <w:kern w:val="2"/>
          <w:sz w:val="28"/>
          <w:szCs w:val="28"/>
          <w:lang w:eastAsia="zh-TW"/>
        </w:rPr>
        <w:tab/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為減少對珠江口水流的影響，建議分區塊進行填海，區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塊間留出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水道，並以橋樑相連不同的人工島； 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28" w:left="1570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（E）</w:t>
      </w:r>
      <w:r w:rsidRPr="00FC555C">
        <w:rPr>
          <w:rFonts w:ascii="DengXian" w:eastAsia="新細明體" w:hAnsi="DengXian" w:cs="Times New Roman" w:hint="eastAsia"/>
          <w:kern w:val="2"/>
          <w:sz w:val="28"/>
          <w:szCs w:val="28"/>
          <w:lang w:eastAsia="zh-TW"/>
        </w:rPr>
        <w:tab/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該區域處在珠江口較為寬闊的水域，因此在該處填海對於水流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 xml:space="preserve">和中華白海豚等自然環境影響較小; 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28" w:left="1570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（F）</w:t>
      </w:r>
      <w:r w:rsidRPr="00FC555C">
        <w:rPr>
          <w:rFonts w:ascii="DengXian" w:eastAsia="新細明體" w:hAnsi="DengXian" w:cs="Times New Roman" w:hint="eastAsia"/>
          <w:kern w:val="2"/>
          <w:sz w:val="28"/>
          <w:szCs w:val="28"/>
          <w:lang w:eastAsia="zh-TW"/>
        </w:rPr>
        <w:tab/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桂山島及西側屬於珠江口水域中較淺區域，避開了其東側的深水航道，既不影響航運亦較易實施填海工程。 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200" w:left="440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 xml:space="preserve">2. 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土地分區 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413" w:left="909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由於該填海區域屬廣東海域，因此本會建議該項目以「共建共享」的原則由香港特區和廣東省分區管理，而填海後的部分用地</w:t>
      </w:r>
      <w:r w:rsidR="003D52DC" w:rsidRPr="003D52DC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採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用拍賣方式，得款共同攤分，從而增加該項目的可行性。如圖</w:t>
      </w:r>
      <w:r w:rsidR="00B547DB" w:rsidRPr="00B547DB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二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所示，130平方公里土地其中：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414" w:left="1617" w:hangingChars="252" w:hanging="706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（A）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30平方公里的土地管理權屬廣東省政府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所有，在該區域內設立新的自由貿易試驗區，加强與香港的産業合作</w:t>
      </w:r>
      <w:bookmarkStart w:id="8" w:name="_Hlk524523202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</w:t>
      </w:r>
      <w:bookmarkEnd w:id="8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形成更高的新型發展平臺。此平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臺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比近年南沙、前海、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橫琴在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內的廣東自由貿易區更為開放，有利廣東省的日後發展。</w:t>
      </w:r>
    </w:p>
    <w:p w:rsidR="00FC555C" w:rsidRPr="00FC555C" w:rsidRDefault="00FC555C" w:rsidP="003D52DC">
      <w:pPr>
        <w:widowControl w:val="0"/>
        <w:adjustRightInd w:val="0"/>
        <w:snapToGrid w:val="0"/>
        <w:spacing w:after="0" w:line="480" w:lineRule="auto"/>
        <w:ind w:leftChars="413" w:left="1617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（B）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100平方公里的土地管理權由香港特區政府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所有，由香港特區政府作總體規劃，完全依照香港特區現行法例對該區域進行管轄；建議其中五成（50平方公里）土地用於發展香港居住功能，這五成土地，其中的六成（30平方公里）為</w:t>
      </w:r>
      <w:bookmarkStart w:id="9" w:name="_Hlk524689956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政府資助房屋</w:t>
      </w:r>
      <w:bookmarkEnd w:id="9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（包括公屋、居屋、首次置業計劃房屋</w:t>
      </w:r>
      <w:r w:rsidR="00AA4E36" w:rsidRPr="00AA4E3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等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），四成（20平方公里）為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私營市場房屋。餘下的五成（50平方公里）用於香港與廣東省合作發展經濟產業功能，即是「大灣區國際商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貿互聯港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」的用地。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>3.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用地功能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177" w:left="389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在香港特區政府管轄的100平方公里内，一切用地功能的規劃佈局全由香港特區政府主導，打造一個綠色環保、高智</w:t>
      </w:r>
      <w:r w:rsidRPr="003E691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能化大都會</w:t>
      </w:r>
      <w:r w:rsidR="00CC604E" w:rsidRPr="003E691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，功能如下</w:t>
      </w:r>
      <w:r w:rsidR="00060C83" w:rsidRPr="00060C8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</w:t>
      </w:r>
    </w:p>
    <w:p w:rsidR="00FC555C" w:rsidRPr="00FC555C" w:rsidRDefault="00FC555C" w:rsidP="00FC555C">
      <w:pPr>
        <w:widowControl w:val="0"/>
        <w:numPr>
          <w:ilvl w:val="0"/>
          <w:numId w:val="6"/>
        </w:numPr>
        <w:adjustRightInd w:val="0"/>
        <w:snapToGrid w:val="0"/>
        <w:spacing w:after="0" w:line="480" w:lineRule="auto"/>
        <w:ind w:left="1288" w:hanging="756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居住用地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–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由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桂山島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移山填海開始，先建政府資助公營房屋，以中基層市民可買得起和住得起為原則，</w:t>
      </w:r>
      <w:r w:rsidR="003D52DC" w:rsidRPr="003D52DC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採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用分期分批進行。提供所有城市先進基建及民生配套設施。私營市場房屋按現行方式進行運作。這50平方公里（5,000公頃）居住用地，可容納大約350萬人，這肯定能徹底解決目前香港房屋缺少、人口老化等及難以即時解決的老問題，亦可提供足夠土地儲備作日後應用。（本會建議目前香港有可能新闢土地的方案應繼續探索及</w:t>
      </w:r>
      <w:r w:rsidRPr="003E691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實</w:t>
      </w:r>
      <w:r w:rsidR="003E6910" w:rsidRPr="003E691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施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）。</w:t>
      </w:r>
    </w:p>
    <w:p w:rsidR="00FC555C" w:rsidRPr="00FC555C" w:rsidRDefault="00FC555C" w:rsidP="00FC555C">
      <w:pPr>
        <w:widowControl w:val="0"/>
        <w:numPr>
          <w:ilvl w:val="0"/>
          <w:numId w:val="6"/>
        </w:numPr>
        <w:adjustRightInd w:val="0"/>
        <w:snapToGrid w:val="0"/>
        <w:spacing w:after="0" w:line="480" w:lineRule="auto"/>
        <w:ind w:left="1288" w:hanging="732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經濟產業用地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–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另50平方公里（5,000公頃）土地，將集合9個城市和兩個特區的實體連結一起，</w:t>
      </w:r>
      <w:r w:rsidR="00AD6E04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組成一個聯合組織</w:t>
      </w:r>
      <w:r w:rsidR="00AD6E04">
        <w:rPr>
          <w:rFonts w:ascii="標楷體" w:hAnsi="標楷體" w:cs="Times New Roman" w:hint="eastAsia"/>
          <w:kern w:val="2"/>
          <w:sz w:val="28"/>
          <w:szCs w:val="28"/>
          <w:lang w:eastAsia="zh-TW"/>
        </w:rPr>
        <w:t>。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由各方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派出創科及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商貿人員，聚合於設立的「大灣區國際商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港」核心區内。推行引進世界各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地商貿</w:t>
      </w:r>
      <w:r w:rsidR="00AD6E04" w:rsidRPr="00AD6E04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及科研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團體、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創科創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業人才進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駐在核心區内，匯聚精英，</w:t>
      </w:r>
      <w:r w:rsidR="00AD6E04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對接資源</w:t>
      </w:r>
      <w:r w:rsidR="00AD6E04"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直接溝通交流合作，為大灣區提升國際競爭力，同創機遇。核心區内打造大型展覽中心、國際科研中心、創科產業中心、孵化創業中心、融資中心、大型體育中心、高等教育中心等。這些中心可以由任何國家的商業機構</w:t>
      </w:r>
      <w:bookmarkStart w:id="10" w:name="_Hlk524902087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、</w:t>
      </w:r>
      <w:bookmarkEnd w:id="10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科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研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中心、大學等興建和營運。土地管理權同樣由香港特區政府管轄（即屬香港特區的一部分）。這片50平方公里加上20平方公里的香港私營房屋的土地，由香港特區政府及廣東省政府共同成立專責小組（專責小組）負責，通過以合適的批地方式及拍賣方式在香港進行，一切商業營運按香港現有模式。土地拍賣所得款，由香港政府與廣東省政府攤分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222" w:left="1241" w:hangingChars="269" w:hanging="753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（C）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不受歡迎的項目用地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–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如興建垃圾廢物處理、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堆填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區、污水處理系統、殯葬業、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骨灰龕等設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施，通過早期整體規劃，可避免把這類項目建於住宅區附近，影響居住環境。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59" w:left="130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>4.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就業機會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236" w:left="519"/>
        <w:jc w:val="both"/>
        <w:rPr>
          <w:rFonts w:ascii="標楷體" w:eastAsia="DengXian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有了足够的土地之便，就可解决居民原地就業問題。在「大灣區國際商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貿互聯港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」地區建設一些比較快速、易建而有效的商業設施，用作發展旅遊事業，和香港未曾有的設施場地。如古董車與未來車展覽場館、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電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競訓練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場、無人機訓練場、永久賽車場地、馬術訓練場、休閑度假區、遊艇會、酒店</w:t>
      </w:r>
      <w:bookmarkStart w:id="11" w:name="_Hlk524765788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、</w:t>
      </w:r>
      <w:bookmarkEnd w:id="11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11個城市文化美食城、11個城市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永久工展會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場、大型品牌散貨場等的商業設施。再加上經濟產業用地的建設項目，定能為居民提供大量原地就業的機會。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>5.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交通配套</w:t>
      </w:r>
    </w:p>
    <w:p w:rsidR="00960AA1" w:rsidRDefault="00FC555C" w:rsidP="00FC555C">
      <w:pPr>
        <w:widowControl w:val="0"/>
        <w:adjustRightInd w:val="0"/>
        <w:snapToGrid w:val="0"/>
        <w:spacing w:after="0" w:line="480" w:lineRule="auto"/>
        <w:ind w:leftChars="236" w:left="519" w:firstLineChars="1" w:firstLine="3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本會建議</w:t>
      </w:r>
      <w:r w:rsidR="00060C83" w:rsidRPr="00060C8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「大灣區國際商</w:t>
      </w:r>
      <w:proofErr w:type="gramStart"/>
      <w:r w:rsidR="00060C83" w:rsidRPr="00060C8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貿互聯港</w:t>
      </w:r>
      <w:proofErr w:type="gramEnd"/>
      <w:r w:rsidR="00060C83" w:rsidRPr="00060C8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」</w:t>
      </w:r>
      <w:r w:rsidR="00060C83" w:rsidRPr="00D85E9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與香港其他地區的交通連接如下</w:t>
      </w:r>
      <w:r w:rsidR="00960AA1"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</w:t>
      </w:r>
    </w:p>
    <w:p w:rsidR="00960AA1" w:rsidRPr="00960AA1" w:rsidRDefault="00060C83" w:rsidP="00905986">
      <w:pPr>
        <w:pStyle w:val="a7"/>
        <w:widowControl w:val="0"/>
        <w:numPr>
          <w:ilvl w:val="0"/>
          <w:numId w:val="7"/>
        </w:numPr>
        <w:adjustRightInd w:val="0"/>
        <w:snapToGrid w:val="0"/>
        <w:spacing w:after="0" w:line="480" w:lineRule="auto"/>
        <w:ind w:leftChars="0" w:left="141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首先建造由</w:t>
      </w:r>
      <w:proofErr w:type="gramStart"/>
      <w:r w:rsidR="00960AA1"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互聯港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人工</w:t>
      </w:r>
      <w:r w:rsidRPr="001D6D7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島</w:t>
      </w:r>
      <w:proofErr w:type="gramEnd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接駁</w:t>
      </w:r>
      <w:proofErr w:type="gramStart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港珠澳</w:t>
      </w:r>
      <w:proofErr w:type="gramEnd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大橋人工島</w:t>
      </w:r>
      <w:r w:rsidR="00FE56CF" w:rsidRPr="00FE56CF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(全長約12.5公里)</w:t>
      </w:r>
      <w:r w:rsidRPr="00FE56CF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的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行車大橋。按照目前</w:t>
      </w:r>
      <w:proofErr w:type="gramStart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港珠澳</w:t>
      </w:r>
      <w:proofErr w:type="gramEnd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大橋的行車時速，由</w:t>
      </w:r>
      <w:r w:rsidR="00960AA1"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互</w:t>
      </w:r>
      <w:proofErr w:type="gramStart"/>
      <w:r w:rsidR="00960AA1"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聯港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至大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嶼山北部</w:t>
      </w:r>
      <w:proofErr w:type="gramEnd"/>
      <w:r w:rsidR="00243CA8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需時約</w:t>
      </w:r>
      <w:r w:rsidRPr="00243CA8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15</w:t>
      </w:r>
      <w:r w:rsidR="00960AA1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至</w:t>
      </w:r>
      <w:r w:rsidRPr="00243CA8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20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分鐘</w:t>
      </w:r>
      <w:r w:rsidR="00960AA1" w:rsidRPr="00960AA1">
        <w:rPr>
          <w:rFonts w:asciiTheme="minorEastAsia" w:hAnsiTheme="minorEastAsia" w:cs="Times New Roman" w:hint="eastAsia"/>
          <w:kern w:val="2"/>
          <w:sz w:val="28"/>
          <w:szCs w:val="28"/>
          <w:lang w:eastAsia="zh-TW"/>
        </w:rPr>
        <w:t>（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如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圖</w:t>
      </w:r>
      <w:r w:rsidR="00977AD0" w:rsidRPr="00977AD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一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所示</w:t>
      </w:r>
      <w:r w:rsidR="00960AA1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）。此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建議按現時陸路交通路綫，既可直接貫穿港</w:t>
      </w:r>
      <w:r w:rsidR="00BC27B9" w:rsidRPr="00BC27B9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島</w:t>
      </w:r>
      <w:r w:rsidR="00960AA1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、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九龍及新界各區，亦可通往</w:t>
      </w:r>
      <w:r w:rsidR="00960AA1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珠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海及澳門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。</w:t>
      </w:r>
    </w:p>
    <w:p w:rsidR="001B2458" w:rsidRPr="00243CA8" w:rsidRDefault="00060C83" w:rsidP="00905986">
      <w:pPr>
        <w:pStyle w:val="a7"/>
        <w:widowControl w:val="0"/>
        <w:numPr>
          <w:ilvl w:val="0"/>
          <w:numId w:val="7"/>
        </w:numPr>
        <w:adjustRightInd w:val="0"/>
        <w:snapToGrid w:val="0"/>
        <w:spacing w:after="0" w:line="480" w:lineRule="auto"/>
        <w:ind w:leftChars="0" w:left="141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隨</w:t>
      </w:r>
      <w:r w:rsidR="006E22D4" w:rsidRPr="006E22D4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着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互聯</w:t>
      </w:r>
      <w:r w:rsidR="00AC3CED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港區內人口增加，建議修建兩條地下鐵路，先建由互聯港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接駁至現正規劃的東涌西地鐵站</w:t>
      </w:r>
      <w:r w:rsidR="00CC20ED" w:rsidRPr="00CC20E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（全長約16.</w:t>
      </w:r>
      <w:r w:rsidR="00CC20ED" w:rsidRPr="00CC20ED">
        <w:rPr>
          <w:rFonts w:ascii="標楷體" w:eastAsia="標楷體" w:hAnsi="標楷體" w:cs="Times New Roman" w:hint="eastAsia"/>
          <w:kern w:val="2"/>
          <w:sz w:val="28"/>
          <w:szCs w:val="28"/>
        </w:rPr>
        <w:t>5</w:t>
      </w:r>
      <w:r w:rsidR="00CC20ED" w:rsidRPr="00CC20E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公里）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，這段車程約需</w:t>
      </w:r>
      <w:r w:rsidRPr="00243CA8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15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分鐘。東涌西站可通往現有的欣澳站及九龍與港</w:t>
      </w:r>
      <w:r w:rsidR="00046B02" w:rsidRPr="00046B0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島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各區的港鐵站。另一條新建的地鐵綫是由現時的迪士尼樂園站，伸延至</w:t>
      </w:r>
      <w:r w:rsidR="001B2458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現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有的堅尼地城站</w:t>
      </w:r>
      <w:r w:rsidR="00CC20ED" w:rsidRPr="00CC20E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（全程約13公里）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，這段車程約需</w:t>
      </w:r>
      <w:r w:rsidRPr="00243CA8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1</w:t>
      </w:r>
      <w:r w:rsidR="00CC20ED">
        <w:rPr>
          <w:rFonts w:asciiTheme="minorEastAsia" w:hAnsiTheme="minorEastAsia" w:cs="Times New Roman" w:hint="eastAsia"/>
          <w:kern w:val="2"/>
          <w:sz w:val="28"/>
          <w:szCs w:val="28"/>
          <w:lang w:eastAsia="zh-TW"/>
        </w:rPr>
        <w:t>3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分鐘（如圖</w:t>
      </w:r>
      <w:r w:rsidR="00977AD0" w:rsidRPr="00977AD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二</w:t>
      </w:r>
      <w:r w:rsidRPr="00977AD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及圖</w:t>
      </w:r>
      <w:r w:rsidR="00977AD0" w:rsidRPr="00977AD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三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所示）。這兩條新建的地鐵綫，都是</w:t>
      </w:r>
      <w:r w:rsidR="00243CA8"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採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用結合形</w:t>
      </w:r>
      <w:r w:rsidRPr="00243CA8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式，利用接駁現有的地鐵沿綫，是省時省費的做法。</w:t>
      </w:r>
    </w:p>
    <w:p w:rsidR="00FC555C" w:rsidRPr="00960AA1" w:rsidRDefault="00060C83" w:rsidP="00905986">
      <w:pPr>
        <w:pStyle w:val="a7"/>
        <w:widowControl w:val="0"/>
        <w:numPr>
          <w:ilvl w:val="0"/>
          <w:numId w:val="7"/>
        </w:numPr>
        <w:adjustRightInd w:val="0"/>
        <w:snapToGrid w:val="0"/>
        <w:spacing w:after="0" w:line="480" w:lineRule="auto"/>
        <w:ind w:leftChars="0" w:left="141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建議在互</w:t>
      </w:r>
      <w:proofErr w:type="gramStart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聯港上</w:t>
      </w:r>
      <w:proofErr w:type="gramEnd"/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興建一個碼頭，</w:t>
      </w:r>
      <w:r w:rsidR="00583697" w:rsidRPr="0058369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開設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來往中環碼頭的渡輪</w:t>
      </w:r>
      <w:r w:rsidR="00AD6E04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航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綫</w:t>
      </w:r>
      <w:r w:rsidR="00CC20ED" w:rsidRPr="00CC20E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（全程約20海里）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，提供便捷的</w:t>
      </w:r>
      <w:r w:rsidR="00CC20ED" w:rsidRPr="00CC20ED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快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船服務，</w:t>
      </w:r>
      <w:r w:rsidR="00A10B87" w:rsidRPr="00A10B87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航行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時間約</w:t>
      </w:r>
      <w:r w:rsidRPr="00960AA1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35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分鐘</w:t>
      </w:r>
      <w:r w:rsidRPr="00960AA1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(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如圖</w:t>
      </w:r>
      <w:r w:rsidR="00977AD0" w:rsidRPr="00977AD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三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所示</w:t>
      </w:r>
      <w:r w:rsidRPr="00960AA1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)</w:t>
      </w:r>
      <w:r w:rsidRPr="00960AA1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90" w:left="1326" w:hangingChars="403" w:hanging="1128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>6.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 財務安排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295" w:left="649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為保證項目能在短期內順利實施，建議由中央政府統籌填海及興建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由桂山島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連接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港珠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澳大橋西人工島（這段海權屬於</w:t>
      </w:r>
      <w:bookmarkStart w:id="12" w:name="_Hlk524888519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廣東省</w:t>
      </w:r>
      <w:bookmarkEnd w:id="12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）的工作，由廣東省完成這兩項工程，這樣除了可以降低工程成本之外，還可節省施工時間。當填海完成後，便按照不同用地模式和運作對該等土地進行開發。方案如下：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54" w:left="1485" w:hangingChars="252" w:hanging="706"/>
        <w:jc w:val="both"/>
        <w:rPr>
          <w:rFonts w:ascii="DengXian" w:eastAsia="新細明體" w:hAnsi="DengXian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（A）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130平方公里填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海工程的費用，可由香港特區政府通過外匯基金，按工程進度分期分批負責支付。若香港特區政府不能啓動外匯基金借出資金，則可考慮由國家社會保險基金或者國家開發銀行借資承擔。無論由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那一方貸出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款項，都確保能獲得穩定的回報。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55" w:left="921" w:hangingChars="50" w:hanging="140"/>
        <w:jc w:val="both"/>
        <w:rPr>
          <w:rFonts w:ascii="DengXian" w:eastAsia="新細明體" w:hAnsi="DengXian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（B）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亦可通過中港兩地共同融資進行。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354" w:left="1563" w:hangingChars="280" w:hanging="784"/>
        <w:jc w:val="both"/>
        <w:rPr>
          <w:rFonts w:ascii="標楷體" w:eastAsia="新細明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（C）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「大灣區國際商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貿互聯港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」的50平方公里及香港私營市場房屋的20平方公里(合共70平方公里)用地，將通過與專責小組負責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以合適的批地及拍賣方式在香港公開拍賣，所得款項先還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130平方公里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填海</w:t>
      </w:r>
      <w:r w:rsidR="00AD6E04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及基建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費用，有剩餘的為利潤，由香港特區政府及廣東省政府攤分。</w:t>
      </w:r>
    </w:p>
    <w:p w:rsidR="00FC555C" w:rsidRPr="00FC555C" w:rsidRDefault="00FC555C" w:rsidP="00243CA8">
      <w:pPr>
        <w:widowControl w:val="0"/>
        <w:adjustRightInd w:val="0"/>
        <w:snapToGrid w:val="0"/>
        <w:spacing w:after="0" w:line="480" w:lineRule="auto"/>
        <w:ind w:leftChars="281" w:left="1063" w:hangingChars="159" w:hanging="445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>7.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監管機制</w:t>
      </w:r>
    </w:p>
    <w:p w:rsidR="00FC555C" w:rsidRPr="00FC555C" w:rsidRDefault="00FC555C" w:rsidP="00243CA8">
      <w:pPr>
        <w:widowControl w:val="0"/>
        <w:adjustRightInd w:val="0"/>
        <w:snapToGrid w:val="0"/>
        <w:spacing w:after="0" w:line="480" w:lineRule="auto"/>
        <w:ind w:leftChars="387" w:left="1615" w:hangingChars="273" w:hanging="764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（A）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100平方公里土地面積的規劃由香港特區政府主導。填海及第一期大橋工程由廣東省政府負責，香港特區政府聘請國際顧問公司負責監督有關填海及造橋工程。</w:t>
      </w:r>
    </w:p>
    <w:p w:rsidR="00FC555C" w:rsidRPr="00FC555C" w:rsidRDefault="00FC555C" w:rsidP="00243CA8">
      <w:pPr>
        <w:widowControl w:val="0"/>
        <w:adjustRightInd w:val="0"/>
        <w:snapToGrid w:val="0"/>
        <w:spacing w:after="0" w:line="480" w:lineRule="auto"/>
        <w:ind w:leftChars="387" w:left="1615" w:hangingChars="273" w:hanging="764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 xml:space="preserve">（B） 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公營住宅及香港特區政府用地方面，建議由獨立的法定機構，如香港房屋協會或香港市區重建局負責建設和</w:t>
      </w:r>
      <w:r w:rsidR="00153740" w:rsidRPr="00153740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監管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414" w:left="1618" w:hanging="707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kern w:val="2"/>
          <w:sz w:val="28"/>
          <w:szCs w:val="28"/>
          <w:lang w:eastAsia="zh-TW"/>
        </w:rPr>
        <w:t>（C）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其餘通過拍賣推出的土地，按香港特區政府現行的法律及規例進行開發。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四． 「大灣區國際商</w:t>
      </w:r>
      <w:proofErr w:type="gramStart"/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貿互聯港</w:t>
      </w:r>
      <w:proofErr w:type="gramEnd"/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」方案的優點</w:t>
      </w:r>
    </w:p>
    <w:p w:rsidR="00FC555C" w:rsidRPr="00FC555C" w:rsidRDefault="00FC555C" w:rsidP="00362493">
      <w:pPr>
        <w:widowControl w:val="0"/>
        <w:adjustRightInd w:val="0"/>
        <w:snapToGrid w:val="0"/>
        <w:spacing w:after="0" w:line="480" w:lineRule="auto"/>
        <w:ind w:leftChars="160" w:left="461" w:hangingChars="39" w:hanging="109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 xml:space="preserve">1. </w:t>
      </w:r>
      <w:bookmarkStart w:id="13" w:name="_Hlk524729617"/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 xml:space="preserve"> 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速見成效</w:t>
      </w:r>
      <w:bookmarkEnd w:id="13"/>
    </w:p>
    <w:p w:rsidR="00FC555C" w:rsidRPr="00FC555C" w:rsidRDefault="00FC555C" w:rsidP="00362493">
      <w:pPr>
        <w:widowControl w:val="0"/>
        <w:adjustRightInd w:val="0"/>
        <w:snapToGrid w:val="0"/>
        <w:spacing w:after="0" w:line="480" w:lineRule="auto"/>
        <w:ind w:leftChars="304" w:left="669" w:firstLine="2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在香港內部海域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填海雖亦可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增加土地供應，但由於填海涉及工程規模大，在香港現時的政治氣氛下，要實現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該類填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海方案所涉及的流程亦可長達十多年，存在遠水救不了近火的困境。為緩解香港極待解決的土地房屋問題，在短期內增加大面積的土地十分關鍵，因此需要跳出現有思維框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架，尋求新的解決途徑。</w:t>
      </w:r>
    </w:p>
    <w:p w:rsidR="00FC555C" w:rsidRPr="00FC555C" w:rsidRDefault="00FC555C" w:rsidP="00362493">
      <w:pPr>
        <w:widowControl w:val="0"/>
        <w:adjustRightInd w:val="0"/>
        <w:snapToGrid w:val="0"/>
        <w:spacing w:after="0" w:line="480" w:lineRule="auto"/>
        <w:ind w:leftChars="299" w:left="658"/>
        <w:jc w:val="both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本建議的填海區位於國内，若由中央政府統籌填海及第一期大橋的工</w:t>
      </w:r>
      <w:r w:rsidR="00FF0D03" w:rsidRPr="00FF0D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作</w:t>
      </w:r>
      <w:r w:rsidRPr="00FF0D03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並由廣東省完成工程，可簡化流程，大幅度縮短所需時間。再者首期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在桂山島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已有陸域開山平整土地和</w:t>
      </w:r>
      <w:proofErr w:type="gramStart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近岸填</w:t>
      </w:r>
      <w:proofErr w:type="gramEnd"/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海，在短期内（約三年）</w:t>
      </w:r>
      <w:r w:rsidRPr="00FC555C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將可獲得</w:t>
      </w:r>
      <w:r w:rsidRPr="00FC555C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10-15</w:t>
      </w:r>
      <w:r w:rsidRPr="00FC555C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平方公里的陸域面積，肯定比在香港填海更快完成。在興建政府資助房屋方面，</w:t>
      </w:r>
      <w:r w:rsidRPr="00FC555C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可考慮</w:t>
      </w:r>
      <w:r w:rsidR="003D52DC" w:rsidRPr="003D52DC">
        <w:rPr>
          <w:rFonts w:ascii="標楷體" w:eastAsia="標楷體" w:hAnsi="標楷體" w:cs="Arial"/>
          <w:kern w:val="2"/>
          <w:sz w:val="28"/>
          <w:szCs w:val="28"/>
          <w:lang w:eastAsia="zh-TW"/>
        </w:rPr>
        <w:t>採</w:t>
      </w:r>
      <w:r w:rsidRPr="00FC555C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用國内預製組件的建築方案，在短期内提供大量公營房屋，以達成居民渴望儘快上樓的心願。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59" w:left="838" w:hangingChars="253" w:hanging="708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>2.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 xml:space="preserve">  工程費用比較</w:t>
      </w:r>
    </w:p>
    <w:p w:rsidR="00FC555C" w:rsidRPr="00FC555C" w:rsidRDefault="00FC555C" w:rsidP="00FC555C">
      <w:pPr>
        <w:widowControl w:val="0"/>
        <w:tabs>
          <w:tab w:val="left" w:pos="709"/>
        </w:tabs>
        <w:adjustRightInd w:val="0"/>
        <w:snapToGrid w:val="0"/>
        <w:spacing w:after="0" w:line="480" w:lineRule="auto"/>
        <w:ind w:leftChars="291" w:left="648" w:hangingChars="3" w:hanging="8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由廣東省負責完成填海及建造第一期大橋工程，比對於由香港負責其工程，能大量降低建築成本。香港和内地填海及建築工程費用的比較如下：</w:t>
      </w:r>
    </w:p>
    <w:p w:rsidR="00FC555C" w:rsidRPr="00FC555C" w:rsidRDefault="00FC555C" w:rsidP="00FC555C">
      <w:pPr>
        <w:widowControl w:val="0"/>
        <w:tabs>
          <w:tab w:val="left" w:pos="1418"/>
        </w:tabs>
        <w:adjustRightInd w:val="0"/>
        <w:snapToGrid w:val="0"/>
        <w:spacing w:after="0" w:line="480" w:lineRule="auto"/>
        <w:ind w:leftChars="295" w:left="1355" w:hangingChars="252" w:hanging="706"/>
        <w:jc w:val="both"/>
        <w:rPr>
          <w:rFonts w:ascii="DengXian" w:eastAsia="DengXian" w:hAnsi="DengXian" w:cs="Times New Roman"/>
          <w:color w:val="000000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color w:val="000000"/>
          <w:kern w:val="2"/>
          <w:sz w:val="28"/>
          <w:szCs w:val="28"/>
          <w:lang w:eastAsia="zh-TW"/>
        </w:rPr>
        <w:t>（A）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根據香港政府2030+報告中，東大嶼都會填海1,000公頃的技術研究所得的資料，就5個</w:t>
      </w:r>
      <w:proofErr w:type="gramStart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近岸填海</w:t>
      </w:r>
      <w:proofErr w:type="gramEnd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項目，填</w:t>
      </w:r>
      <w:proofErr w:type="gramStart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海連</w:t>
      </w:r>
      <w:proofErr w:type="gramEnd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基建設施的發展成本粗略估算為每平方米15,000</w:t>
      </w:r>
      <w:r w:rsidR="007C35BA" w:rsidRPr="007C35B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港</w:t>
      </w:r>
      <w:r w:rsidRPr="007C35B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元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至</w:t>
      </w:r>
      <w:bookmarkStart w:id="14" w:name="_Hlk524905084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25,000</w:t>
      </w:r>
      <w:bookmarkEnd w:id="14"/>
      <w:r w:rsidR="007C35BA" w:rsidRPr="007C35B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港</w:t>
      </w:r>
      <w:r w:rsidRPr="007C35BA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元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 xml:space="preserve"> （按2017年9月價格計算）。至於中部水域人工島（東大嶼都會），由於預期需要建造較大規模的對外運輸基建設施，發展成本會較</w:t>
      </w:r>
      <w:proofErr w:type="gramStart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近岸填海</w:t>
      </w:r>
      <w:proofErr w:type="gramEnd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項目的估算上限為高。國内的填海工程費用</w:t>
      </w:r>
      <w:r w:rsidR="00285960" w:rsidRPr="0028596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粗略估算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每平方米約</w:t>
      </w:r>
      <w:r w:rsidR="0083126B" w:rsidRPr="0083126B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為</w:t>
      </w:r>
      <w:bookmarkStart w:id="15" w:name="_Hlk524985477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3,200</w:t>
      </w:r>
      <w:bookmarkEnd w:id="15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元人民幣。</w:t>
      </w:r>
    </w:p>
    <w:p w:rsidR="00FC555C" w:rsidRDefault="00FC555C" w:rsidP="00FC555C">
      <w:pPr>
        <w:widowControl w:val="0"/>
        <w:tabs>
          <w:tab w:val="left" w:pos="1560"/>
        </w:tabs>
        <w:adjustRightInd w:val="0"/>
        <w:snapToGrid w:val="0"/>
        <w:spacing w:after="0" w:line="480" w:lineRule="auto"/>
        <w:ind w:leftChars="296" w:left="1424" w:hangingChars="276" w:hanging="773"/>
        <w:jc w:val="both"/>
        <w:rPr>
          <w:rFonts w:ascii="標楷體" w:eastAsia="標楷體" w:hAnsi="標楷體" w:cs="Times New Roman"/>
          <w:color w:val="000000"/>
          <w:kern w:val="2"/>
          <w:sz w:val="28"/>
          <w:szCs w:val="28"/>
          <w:lang w:eastAsia="zh-TW"/>
        </w:rPr>
      </w:pPr>
      <w:r w:rsidRPr="00FC555C">
        <w:rPr>
          <w:rFonts w:ascii="DengXian" w:eastAsia="DengXian" w:hAnsi="DengXian" w:cs="Times New Roman" w:hint="eastAsia"/>
          <w:color w:val="000000"/>
          <w:kern w:val="2"/>
          <w:sz w:val="28"/>
          <w:szCs w:val="28"/>
          <w:lang w:eastAsia="zh-TW"/>
        </w:rPr>
        <w:lastRenderedPageBreak/>
        <w:t>（B）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香港建造樓房工程費約為</w:t>
      </w:r>
      <w:r w:rsidR="0083126B" w:rsidRPr="007F3F1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46,000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港元</w:t>
      </w:r>
      <w:proofErr w:type="gramStart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一</w:t>
      </w:r>
      <w:proofErr w:type="gramEnd"/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平方米，國内建造樓房工程費約</w:t>
      </w:r>
      <w:r w:rsidR="00E468BD" w:rsidRPr="00E468BD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為</w:t>
      </w:r>
      <w:r w:rsidR="007F3F16" w:rsidRPr="007F3F1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5</w:t>
      </w:r>
      <w:r w:rsidR="007F3F16" w:rsidRPr="007F3F16">
        <w:rPr>
          <w:rFonts w:ascii="標楷體" w:eastAsia="標楷體" w:hAnsi="標楷體" w:cs="Times New Roman"/>
          <w:color w:val="000000"/>
          <w:kern w:val="2"/>
          <w:sz w:val="28"/>
          <w:szCs w:val="28"/>
          <w:lang w:eastAsia="zh-TW"/>
        </w:rPr>
        <w:t>,</w:t>
      </w:r>
      <w:r w:rsidR="0083126B" w:rsidRPr="007F3F1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000</w:t>
      </w:r>
      <w:r w:rsidR="007F3F16" w:rsidRPr="007F3F1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元</w:t>
      </w:r>
      <w:r w:rsidRPr="007F3F16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人</w:t>
      </w:r>
      <w:r w:rsidRPr="00FC555C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eastAsia="zh-TW"/>
        </w:rPr>
        <w:t>民幣一平方米。</w:t>
      </w:r>
    </w:p>
    <w:p w:rsidR="00FC555C" w:rsidRPr="00FC555C" w:rsidRDefault="00FC555C" w:rsidP="00FC555C">
      <w:pPr>
        <w:widowControl w:val="0"/>
        <w:adjustRightInd w:val="0"/>
        <w:snapToGrid w:val="0"/>
        <w:spacing w:after="0" w:line="480" w:lineRule="auto"/>
        <w:ind w:leftChars="233" w:left="1221" w:hangingChars="253" w:hanging="708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bookmarkStart w:id="16" w:name="_GoBack"/>
      <w:bookmarkEnd w:id="16"/>
      <w:r w:rsidRPr="00FC555C">
        <w:rPr>
          <w:rFonts w:ascii="DengXian" w:eastAsia="DengXian" w:hAnsi="DengXian" w:cs="Times New Roman" w:hint="eastAsia"/>
          <w:b/>
          <w:kern w:val="2"/>
          <w:sz w:val="28"/>
          <w:szCs w:val="28"/>
          <w:lang w:eastAsia="zh-TW"/>
        </w:rPr>
        <w:t xml:space="preserve">3.  </w:t>
      </w: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/>
        </w:rPr>
        <w:t>大量土地供長遠發展</w:t>
      </w:r>
    </w:p>
    <w:p w:rsidR="00FC555C" w:rsidRDefault="00FC555C" w:rsidP="00FC555C">
      <w:pPr>
        <w:widowControl w:val="0"/>
        <w:adjustRightInd w:val="0"/>
        <w:snapToGrid w:val="0"/>
        <w:spacing w:after="0" w:line="480" w:lineRule="auto"/>
        <w:ind w:leftChars="454" w:left="1001" w:hanging="2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本建議能為香港提供50平方公里的居住土地，為未來的長遠發展提供充足的土地儲備，香港可以計劃自己的未來。可預</w:t>
      </w:r>
      <w:r w:rsidRPr="00A61644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見</w:t>
      </w:r>
      <w:r w:rsidR="003434C0" w:rsidRPr="00A61644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在提交報告給中央和與廣東省洽談合作時，</w:t>
      </w:r>
      <w:r w:rsidR="00A61644" w:rsidRPr="00A61644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定會需要時間，及或會</w:t>
      </w:r>
      <w:r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遇上一些困難，但難題過後，我們就能夠造就充分的條件，以宏觀的思維，預早為香港未來三十至五十年的發展作妥善籌劃。</w:t>
      </w:r>
    </w:p>
    <w:p w:rsidR="00646406" w:rsidRPr="00FC555C" w:rsidRDefault="00646406" w:rsidP="00FC555C">
      <w:pPr>
        <w:widowControl w:val="0"/>
        <w:adjustRightInd w:val="0"/>
        <w:snapToGrid w:val="0"/>
        <w:spacing w:after="0" w:line="480" w:lineRule="auto"/>
        <w:ind w:leftChars="454" w:left="1001" w:hanging="2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FC555C" w:rsidRPr="00FC555C" w:rsidRDefault="00FC555C" w:rsidP="00FC555C">
      <w:pPr>
        <w:widowControl w:val="0"/>
        <w:numPr>
          <w:ilvl w:val="0"/>
          <w:numId w:val="1"/>
        </w:numPr>
        <w:adjustRightInd w:val="0"/>
        <w:snapToGrid w:val="0"/>
        <w:spacing w:after="0" w:line="480" w:lineRule="auto"/>
        <w:jc w:val="both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  <w:r w:rsidRPr="00FC555C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總結</w:t>
      </w:r>
    </w:p>
    <w:p w:rsidR="00FC555C" w:rsidRDefault="00A81E8D" w:rsidP="00FC555C">
      <w:pPr>
        <w:widowControl w:val="0"/>
        <w:adjustRightInd w:val="0"/>
        <w:snapToGrid w:val="0"/>
        <w:spacing w:after="0" w:line="480" w:lineRule="auto"/>
        <w:ind w:left="720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本會建議</w:t>
      </w:r>
      <w:r w:rsidR="001A3342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「大灣區國際商</w:t>
      </w:r>
      <w:proofErr w:type="gramStart"/>
      <w:r w:rsidR="001A3342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貿互聯港</w:t>
      </w:r>
      <w:proofErr w:type="gramEnd"/>
      <w:r w:rsidR="001A3342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」的設立</w:t>
      </w:r>
      <w:r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，將會成</w:t>
      </w:r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為「粵港澳大灣區」</w:t>
      </w:r>
      <w:r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可輻射到全世界</w:t>
      </w:r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的重點項目</w:t>
      </w:r>
      <w:bookmarkStart w:id="17" w:name="_Hlk524895819"/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，如得</w:t>
      </w:r>
      <w:bookmarkEnd w:id="17"/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到中央對這建議的支持及在廣東省的配合下，</w:t>
      </w:r>
      <w:r w:rsidR="001A3342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不但</w:t>
      </w:r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可深化粵港澳合作，</w:t>
      </w:r>
      <w:r w:rsidR="001A3342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還</w:t>
      </w:r>
      <w:r w:rsidR="00FC555C"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真正能夠加速打造成爲世界一流的大灣區的其中一員，建成全球重要的科技產業創新中心。這項目可以説是香港和廣東省雙贏的方案。對廣東省來説，能夠在30平方公里的新土地上，開闢一個更新的自由貿易試驗區，除發展更多的商機之外，還可以在「大灣區國際商貿互聯港」商用土地及香港私營</w:t>
      </w:r>
      <w:r w:rsidR="00FC555C" w:rsidRPr="00FC555C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房屋用地，獲得土地拍賣所得款的分成。而香港除了獲得土地拍賣款外，還多了30平方公里以建造公屋的土地，將香港面積擴大，可分散人口分佈，解決居住困難的問題。當香港政府設計構思100平方公里時，像在一張白紙上規劃，定可實現一個绿色環保、高智能創新的大都會。由香港特區帶領一區九市，把握機遇衝向世界，協助國家加速成爲世界經濟第一大</w:t>
      </w:r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强國</w:t>
      </w:r>
      <w:r w:rsidR="001A3342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，是指日可待</w:t>
      </w:r>
      <w:r w:rsidR="00FC555C" w:rsidRPr="001A33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。</w:t>
      </w:r>
    </w:p>
    <w:p w:rsidR="00737DF3" w:rsidRPr="00FC555C" w:rsidRDefault="00737DF3" w:rsidP="00FC555C">
      <w:pPr>
        <w:widowControl w:val="0"/>
        <w:adjustRightInd w:val="0"/>
        <w:snapToGrid w:val="0"/>
        <w:spacing w:after="0" w:line="480" w:lineRule="auto"/>
        <w:ind w:left="720"/>
        <w:jc w:val="both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:rsidR="00FC555C" w:rsidRDefault="00591F88" w:rsidP="003D52DC">
      <w:pPr>
        <w:widowControl w:val="0"/>
        <w:adjustRightInd w:val="0"/>
        <w:snapToGrid w:val="0"/>
        <w:spacing w:after="0" w:line="480" w:lineRule="auto"/>
        <w:ind w:left="720"/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r w:rsidRPr="00591F88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懇</w:t>
      </w:r>
      <w:r w:rsidR="00FC555C" w:rsidRPr="00591F88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請香港</w:t>
      </w:r>
      <w:r w:rsidR="00FC555C" w:rsidRPr="003D52DC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t>特區政府認真考慮這可行的建議。</w:t>
      </w:r>
    </w:p>
    <w:p w:rsidR="000A38B7" w:rsidRDefault="000A38B7" w:rsidP="003D52DC">
      <w:pPr>
        <w:widowControl w:val="0"/>
        <w:adjustRightInd w:val="0"/>
        <w:snapToGrid w:val="0"/>
        <w:spacing w:after="0" w:line="480" w:lineRule="auto"/>
        <w:ind w:left="720"/>
        <w:jc w:val="center"/>
        <w:rPr>
          <w:rFonts w:ascii="標楷體" w:eastAsia="標楷體" w:hAnsi="標楷體" w:cs="Times New Roman"/>
          <w:b/>
          <w:kern w:val="2"/>
          <w:sz w:val="28"/>
          <w:szCs w:val="28"/>
          <w:lang w:eastAsia="zh-TW"/>
        </w:rPr>
      </w:pPr>
    </w:p>
    <w:p w:rsidR="001A3342" w:rsidRPr="00555012" w:rsidRDefault="001A3342" w:rsidP="000A38B7">
      <w:pPr>
        <w:widowControl w:val="0"/>
        <w:tabs>
          <w:tab w:val="left" w:pos="4536"/>
        </w:tabs>
        <w:adjustRightInd w:val="0"/>
        <w:snapToGrid w:val="0"/>
        <w:spacing w:after="0" w:line="480" w:lineRule="auto"/>
        <w:ind w:left="5387"/>
        <w:jc w:val="center"/>
        <w:rPr>
          <w:rFonts w:ascii="標楷體" w:eastAsia="標楷體" w:hAnsi="標楷體" w:cs="Times New Roman"/>
          <w:b/>
          <w:kern w:val="2"/>
          <w:sz w:val="40"/>
          <w:szCs w:val="40"/>
          <w:lang w:eastAsia="zh-TW"/>
        </w:rPr>
      </w:pPr>
      <w:r w:rsidRPr="00555012">
        <w:rPr>
          <w:rFonts w:ascii="標楷體" w:eastAsia="標楷體" w:hAnsi="標楷體" w:cs="Times New Roman" w:hint="eastAsia"/>
          <w:b/>
          <w:kern w:val="2"/>
          <w:sz w:val="40"/>
          <w:szCs w:val="40"/>
          <w:lang w:eastAsia="zh-TW"/>
        </w:rPr>
        <w:t>香港房地產協會</w:t>
      </w:r>
    </w:p>
    <w:p w:rsidR="00FC555C" w:rsidRPr="00555012" w:rsidRDefault="001A3342" w:rsidP="000176E4">
      <w:pPr>
        <w:widowControl w:val="0"/>
        <w:tabs>
          <w:tab w:val="left" w:pos="4536"/>
        </w:tabs>
        <w:adjustRightInd w:val="0"/>
        <w:snapToGrid w:val="0"/>
        <w:spacing w:after="0" w:line="480" w:lineRule="auto"/>
        <w:ind w:left="5387"/>
        <w:jc w:val="center"/>
        <w:rPr>
          <w:rFonts w:eastAsia="新細明體" w:cstheme="minorHAnsi"/>
          <w:b/>
          <w:sz w:val="40"/>
          <w:szCs w:val="40"/>
          <w:lang w:eastAsia="zh-TW"/>
        </w:rPr>
      </w:pPr>
      <w:r w:rsidRPr="00555012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2018</w:t>
      </w:r>
      <w:r w:rsidRPr="00555012">
        <w:rPr>
          <w:rFonts w:ascii="標楷體" w:eastAsia="標楷體" w:hAnsi="標楷體" w:cs="Times New Roman" w:hint="eastAsia"/>
          <w:b/>
          <w:kern w:val="2"/>
          <w:sz w:val="40"/>
          <w:szCs w:val="40"/>
          <w:lang w:eastAsia="zh-TW"/>
        </w:rPr>
        <w:t>年</w:t>
      </w:r>
      <w:r w:rsidRPr="00555012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9</w:t>
      </w:r>
      <w:r w:rsidRPr="00555012">
        <w:rPr>
          <w:rFonts w:ascii="標楷體" w:eastAsia="標楷體" w:hAnsi="標楷體" w:cs="Times New Roman" w:hint="eastAsia"/>
          <w:b/>
          <w:kern w:val="2"/>
          <w:sz w:val="40"/>
          <w:szCs w:val="40"/>
          <w:lang w:eastAsia="zh-TW"/>
        </w:rPr>
        <w:t>月</w:t>
      </w:r>
    </w:p>
    <w:sectPr w:rsidR="00FC555C" w:rsidRPr="00555012" w:rsidSect="00243CA8">
      <w:headerReference w:type="default" r:id="rId8"/>
      <w:footerReference w:type="default" r:id="rId9"/>
      <w:pgSz w:w="12240" w:h="15840"/>
      <w:pgMar w:top="1361" w:right="1440" w:bottom="1361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0A" w:rsidRDefault="001A5E0A" w:rsidP="000125BF">
      <w:pPr>
        <w:spacing w:after="0" w:line="240" w:lineRule="auto"/>
      </w:pPr>
      <w:r>
        <w:separator/>
      </w:r>
    </w:p>
  </w:endnote>
  <w:endnote w:type="continuationSeparator" w:id="0">
    <w:p w:rsidR="001A5E0A" w:rsidRDefault="001A5E0A" w:rsidP="0001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822079"/>
      <w:docPartObj>
        <w:docPartGallery w:val="Page Numbers (Bottom of Page)"/>
        <w:docPartUnique/>
      </w:docPartObj>
    </w:sdtPr>
    <w:sdtEndPr/>
    <w:sdtContent>
      <w:p w:rsidR="000C7C6D" w:rsidRDefault="000C7C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50" w:rsidRPr="000F7850">
          <w:rPr>
            <w:noProof/>
            <w:lang w:val="zh-TW" w:eastAsia="zh-TW"/>
          </w:rPr>
          <w:t>13</w:t>
        </w:r>
        <w:r>
          <w:fldChar w:fldCharType="end"/>
        </w:r>
      </w:p>
    </w:sdtContent>
  </w:sdt>
  <w:p w:rsidR="000125BF" w:rsidRDefault="00012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0A" w:rsidRDefault="001A5E0A" w:rsidP="000125BF">
      <w:pPr>
        <w:spacing w:after="0" w:line="240" w:lineRule="auto"/>
      </w:pPr>
      <w:r>
        <w:separator/>
      </w:r>
    </w:p>
  </w:footnote>
  <w:footnote w:type="continuationSeparator" w:id="0">
    <w:p w:rsidR="001A5E0A" w:rsidRDefault="001A5E0A" w:rsidP="0001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06" w:rsidRDefault="00FE56CF" w:rsidP="00646406">
    <w:pPr>
      <w:pStyle w:val="a3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pt;height:53.4pt">
          <v:imagedata r:id="rId1" o:title="HKRPF logo"/>
        </v:shape>
      </w:pict>
    </w:r>
    <w:r w:rsidR="00646406"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406" w:rsidRDefault="00646406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646406" w:rsidRDefault="00646406">
                      <w:pPr>
                        <w:pStyle w:val="a3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AA8"/>
    <w:multiLevelType w:val="hybridMultilevel"/>
    <w:tmpl w:val="6DE2D1BA"/>
    <w:lvl w:ilvl="0" w:tplc="BA32866C">
      <w:start w:val="3"/>
      <w:numFmt w:val="taiwaneseCountingThousand"/>
      <w:lvlText w:val="%1．"/>
      <w:lvlJc w:val="left"/>
      <w:pPr>
        <w:ind w:left="720" w:hanging="720"/>
      </w:pPr>
      <w:rPr>
        <w:rFonts w:ascii="標楷體" w:eastAsia="標楷體" w:hAnsi="標楷體" w:hint="eastAsia"/>
      </w:rPr>
    </w:lvl>
    <w:lvl w:ilvl="1" w:tplc="5AE0CDE6">
      <w:start w:val="2"/>
      <w:numFmt w:val="upperLetter"/>
      <w:lvlText w:val="（%2）"/>
      <w:lvlJc w:val="left"/>
      <w:pPr>
        <w:ind w:left="1200" w:hanging="720"/>
      </w:pPr>
      <w:rPr>
        <w:rFonts w:ascii="DengXian" w:eastAsia="DengXian" w:hAnsi="DengXian" w:hint="eastAsia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D13A2"/>
    <w:multiLevelType w:val="hybridMultilevel"/>
    <w:tmpl w:val="C8B093C4"/>
    <w:lvl w:ilvl="0" w:tplc="430A4A1C">
      <w:start w:val="1"/>
      <w:numFmt w:val="upperLetter"/>
      <w:lvlText w:val="（%1）"/>
      <w:lvlJc w:val="left"/>
      <w:pPr>
        <w:ind w:left="919" w:hanging="360"/>
      </w:pPr>
      <w:rPr>
        <w:rFonts w:ascii="DengXian" w:eastAsia="DengXian" w:hAnsi="DengXian" w:cs="Times New Roman"/>
      </w:r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45285F8B"/>
    <w:multiLevelType w:val="hybridMultilevel"/>
    <w:tmpl w:val="24EE46C2"/>
    <w:lvl w:ilvl="0" w:tplc="163439AE">
      <w:start w:val="1"/>
      <w:numFmt w:val="upperLetter"/>
      <w:lvlText w:val="（%1）"/>
      <w:lvlJc w:val="left"/>
      <w:pPr>
        <w:ind w:left="1572" w:hanging="720"/>
      </w:pPr>
      <w:rPr>
        <w:rFonts w:ascii="DengXian" w:eastAsia="DengXian" w:hAnsi="DengXi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4BDA1F4D"/>
    <w:multiLevelType w:val="multilevel"/>
    <w:tmpl w:val="35CC4AF4"/>
    <w:lvl w:ilvl="0">
      <w:start w:val="1"/>
      <w:numFmt w:val="decimal"/>
      <w:lvlText w:val="%1."/>
      <w:lvlJc w:val="left"/>
      <w:pPr>
        <w:ind w:left="384" w:hanging="384"/>
      </w:pPr>
      <w:rPr>
        <w:rFonts w:ascii="DengXian" w:eastAsia="DengXian" w:hAnsi="DengXian" w:cs="Times New Roman"/>
        <w:b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DengXian" w:eastAsia="DengXian" w:hAnsi="DengXian" w:hint="eastAsia"/>
        <w:b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ascii="DengXian" w:eastAsia="DengXian" w:hAnsi="DengXian" w:hint="eastAsia"/>
        <w:b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ascii="DengXian" w:eastAsia="DengXian" w:hAnsi="DengXian" w:hint="eastAsia"/>
        <w:b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ascii="DengXian" w:eastAsia="DengXian" w:hAnsi="DengXian" w:hint="eastAsia"/>
        <w:b/>
      </w:rPr>
    </w:lvl>
    <w:lvl w:ilvl="5">
      <w:start w:val="1"/>
      <w:numFmt w:val="decimal"/>
      <w:lvlText w:val="%1.%2.%3.%4.%5.%6"/>
      <w:lvlJc w:val="left"/>
      <w:pPr>
        <w:ind w:left="6600" w:hanging="1800"/>
      </w:pPr>
      <w:rPr>
        <w:rFonts w:ascii="DengXian" w:eastAsia="DengXian" w:hAnsi="DengXian" w:hint="eastAsia"/>
        <w:b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ascii="DengXian" w:eastAsia="DengXian" w:hAnsi="DengXian" w:hint="eastAsia"/>
        <w:b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ascii="DengXian" w:eastAsia="DengXian" w:hAnsi="DengXian" w:hint="eastAsia"/>
        <w:b/>
      </w:rPr>
    </w:lvl>
    <w:lvl w:ilvl="8">
      <w:start w:val="1"/>
      <w:numFmt w:val="decimal"/>
      <w:lvlText w:val="%1.%2.%3.%4.%5.%6.%7.%8.%9"/>
      <w:lvlJc w:val="left"/>
      <w:pPr>
        <w:ind w:left="10200" w:hanging="2520"/>
      </w:pPr>
      <w:rPr>
        <w:rFonts w:ascii="DengXian" w:eastAsia="DengXian" w:hAnsi="DengXian" w:hint="eastAsia"/>
        <w:b/>
      </w:rPr>
    </w:lvl>
  </w:abstractNum>
  <w:abstractNum w:abstractNumId="4" w15:restartNumberingAfterBreak="0">
    <w:nsid w:val="50C71B9B"/>
    <w:multiLevelType w:val="hybridMultilevel"/>
    <w:tmpl w:val="A11647A4"/>
    <w:lvl w:ilvl="0" w:tplc="E22A06EE">
      <w:start w:val="1"/>
      <w:numFmt w:val="taiwaneseCountingThousand"/>
      <w:lvlText w:val="%1．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3DE2617E">
      <w:start w:val="1"/>
      <w:numFmt w:val="taiwaneseCountingThousand"/>
      <w:lvlText w:val="%2．"/>
      <w:lvlJc w:val="left"/>
      <w:pPr>
        <w:ind w:left="1200" w:hanging="720"/>
      </w:pPr>
      <w:rPr>
        <w:rFonts w:ascii="標楷體" w:eastAsia="標楷體" w:hAnsi="標楷體" w:hint="eastAsia"/>
        <w:b w:val="0"/>
      </w:rPr>
    </w:lvl>
    <w:lvl w:ilvl="2" w:tplc="47305748">
      <w:start w:val="3"/>
      <w:numFmt w:val="decimal"/>
      <w:lvlText w:val="%3．"/>
      <w:lvlJc w:val="left"/>
      <w:pPr>
        <w:ind w:left="1680" w:hanging="720"/>
      </w:pPr>
      <w:rPr>
        <w:rFonts w:ascii="DengXian" w:eastAsia="DengXian" w:hAnsi="DengXi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B5AE5"/>
    <w:multiLevelType w:val="hybridMultilevel"/>
    <w:tmpl w:val="990A8164"/>
    <w:lvl w:ilvl="0" w:tplc="14E6052A">
      <w:start w:val="1"/>
      <w:numFmt w:val="decimal"/>
      <w:lvlText w:val="%1."/>
      <w:lvlJc w:val="left"/>
      <w:pPr>
        <w:ind w:left="1276" w:hanging="360"/>
      </w:pPr>
      <w:rPr>
        <w:rFonts w:ascii="DengXian" w:eastAsia="DengXian" w:hAnsi="DengXian" w:hint="eastAsia"/>
      </w:rPr>
    </w:lvl>
    <w:lvl w:ilvl="1" w:tplc="04090019">
      <w:start w:val="1"/>
      <w:numFmt w:val="ideographTraditional"/>
      <w:lvlText w:val="%2、"/>
      <w:lvlJc w:val="left"/>
      <w:pPr>
        <w:ind w:left="1876" w:hanging="480"/>
      </w:pPr>
    </w:lvl>
    <w:lvl w:ilvl="2" w:tplc="0409001B">
      <w:start w:val="1"/>
      <w:numFmt w:val="lowerRoman"/>
      <w:lvlText w:val="%3."/>
      <w:lvlJc w:val="right"/>
      <w:pPr>
        <w:ind w:left="2356" w:hanging="480"/>
      </w:pPr>
    </w:lvl>
    <w:lvl w:ilvl="3" w:tplc="0409000F">
      <w:start w:val="1"/>
      <w:numFmt w:val="decimal"/>
      <w:lvlText w:val="%4."/>
      <w:lvlJc w:val="left"/>
      <w:pPr>
        <w:ind w:left="2836" w:hanging="480"/>
      </w:pPr>
    </w:lvl>
    <w:lvl w:ilvl="4" w:tplc="04090019">
      <w:start w:val="1"/>
      <w:numFmt w:val="ideographTraditional"/>
      <w:lvlText w:val="%5、"/>
      <w:lvlJc w:val="left"/>
      <w:pPr>
        <w:ind w:left="3316" w:hanging="480"/>
      </w:pPr>
    </w:lvl>
    <w:lvl w:ilvl="5" w:tplc="0409001B">
      <w:start w:val="1"/>
      <w:numFmt w:val="lowerRoman"/>
      <w:lvlText w:val="%6."/>
      <w:lvlJc w:val="right"/>
      <w:pPr>
        <w:ind w:left="3796" w:hanging="480"/>
      </w:pPr>
    </w:lvl>
    <w:lvl w:ilvl="6" w:tplc="0409000F">
      <w:start w:val="1"/>
      <w:numFmt w:val="decimal"/>
      <w:lvlText w:val="%7."/>
      <w:lvlJc w:val="left"/>
      <w:pPr>
        <w:ind w:left="4276" w:hanging="480"/>
      </w:pPr>
    </w:lvl>
    <w:lvl w:ilvl="7" w:tplc="04090019">
      <w:start w:val="1"/>
      <w:numFmt w:val="ideographTraditional"/>
      <w:lvlText w:val="%8、"/>
      <w:lvlJc w:val="left"/>
      <w:pPr>
        <w:ind w:left="4756" w:hanging="480"/>
      </w:pPr>
    </w:lvl>
    <w:lvl w:ilvl="8" w:tplc="0409001B">
      <w:start w:val="1"/>
      <w:numFmt w:val="lowerRoman"/>
      <w:lvlText w:val="%9."/>
      <w:lvlJc w:val="right"/>
      <w:pPr>
        <w:ind w:left="5236" w:hanging="480"/>
      </w:pPr>
    </w:lvl>
  </w:abstractNum>
  <w:abstractNum w:abstractNumId="6" w15:restartNumberingAfterBreak="0">
    <w:nsid w:val="5F017DDD"/>
    <w:multiLevelType w:val="multilevel"/>
    <w:tmpl w:val="4BF09E5E"/>
    <w:lvl w:ilvl="0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Times New Roman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DengXian" w:eastAsia="DengXian" w:hAnsi="DengXian" w:hint="eastAsi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DengXian" w:eastAsia="DengXian" w:hAnsi="DengXian" w:hint="eastAsi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DengXian" w:eastAsia="DengXian" w:hAnsi="DengXian" w:hint="eastAsia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DengXian" w:eastAsia="DengXian" w:hAnsi="DengXian" w:hint="eastAsia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DengXian" w:eastAsia="DengXian" w:hAnsi="DengXian" w:hint="eastAsia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DengXian" w:eastAsia="DengXian" w:hAnsi="DengXian" w:hint="eastAsia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DengXian" w:eastAsia="DengXian" w:hAnsi="DengXian" w:hint="eastAsia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DengXian" w:eastAsia="DengXian" w:hAnsi="DengXian" w:hint="eastAsi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29"/>
    <w:rsid w:val="000125BF"/>
    <w:rsid w:val="000176E4"/>
    <w:rsid w:val="00046B02"/>
    <w:rsid w:val="00060C83"/>
    <w:rsid w:val="000A38B7"/>
    <w:rsid w:val="000C7C6D"/>
    <w:rsid w:val="000F7850"/>
    <w:rsid w:val="00153740"/>
    <w:rsid w:val="00172FD5"/>
    <w:rsid w:val="001A2FC7"/>
    <w:rsid w:val="001A3342"/>
    <w:rsid w:val="001A5E0A"/>
    <w:rsid w:val="001B2458"/>
    <w:rsid w:val="001D6D71"/>
    <w:rsid w:val="00241822"/>
    <w:rsid w:val="00243CA8"/>
    <w:rsid w:val="00285960"/>
    <w:rsid w:val="00285CFD"/>
    <w:rsid w:val="003113B2"/>
    <w:rsid w:val="003434C0"/>
    <w:rsid w:val="0036167A"/>
    <w:rsid w:val="00362493"/>
    <w:rsid w:val="0036318E"/>
    <w:rsid w:val="003D52DC"/>
    <w:rsid w:val="003E6910"/>
    <w:rsid w:val="00490B08"/>
    <w:rsid w:val="004B0FA4"/>
    <w:rsid w:val="00555012"/>
    <w:rsid w:val="00555E6E"/>
    <w:rsid w:val="00560C46"/>
    <w:rsid w:val="00583697"/>
    <w:rsid w:val="00591F88"/>
    <w:rsid w:val="005C1798"/>
    <w:rsid w:val="006301E0"/>
    <w:rsid w:val="00646406"/>
    <w:rsid w:val="00690BDE"/>
    <w:rsid w:val="006E22D4"/>
    <w:rsid w:val="006E7D13"/>
    <w:rsid w:val="00737DF3"/>
    <w:rsid w:val="00754E61"/>
    <w:rsid w:val="007A4F8E"/>
    <w:rsid w:val="007C35BA"/>
    <w:rsid w:val="007F05D5"/>
    <w:rsid w:val="007F3F16"/>
    <w:rsid w:val="0083126B"/>
    <w:rsid w:val="00893229"/>
    <w:rsid w:val="00905986"/>
    <w:rsid w:val="00960AA1"/>
    <w:rsid w:val="00977AD0"/>
    <w:rsid w:val="009B2000"/>
    <w:rsid w:val="009D2A47"/>
    <w:rsid w:val="00A10303"/>
    <w:rsid w:val="00A10B87"/>
    <w:rsid w:val="00A516FC"/>
    <w:rsid w:val="00A61644"/>
    <w:rsid w:val="00A81E8D"/>
    <w:rsid w:val="00AA4E36"/>
    <w:rsid w:val="00AC3CED"/>
    <w:rsid w:val="00AD6489"/>
    <w:rsid w:val="00AD6E04"/>
    <w:rsid w:val="00B269DC"/>
    <w:rsid w:val="00B26E2C"/>
    <w:rsid w:val="00B547DB"/>
    <w:rsid w:val="00B607C6"/>
    <w:rsid w:val="00B97AA7"/>
    <w:rsid w:val="00BC27B9"/>
    <w:rsid w:val="00BD1408"/>
    <w:rsid w:val="00C550DD"/>
    <w:rsid w:val="00C57CBD"/>
    <w:rsid w:val="00C672BC"/>
    <w:rsid w:val="00C77174"/>
    <w:rsid w:val="00CC20ED"/>
    <w:rsid w:val="00CC604E"/>
    <w:rsid w:val="00D039D3"/>
    <w:rsid w:val="00D04192"/>
    <w:rsid w:val="00D85E91"/>
    <w:rsid w:val="00D94BA8"/>
    <w:rsid w:val="00DF7CF1"/>
    <w:rsid w:val="00E468BD"/>
    <w:rsid w:val="00E50149"/>
    <w:rsid w:val="00E71021"/>
    <w:rsid w:val="00EC465A"/>
    <w:rsid w:val="00EC6A95"/>
    <w:rsid w:val="00F43076"/>
    <w:rsid w:val="00F44FF3"/>
    <w:rsid w:val="00F90F42"/>
    <w:rsid w:val="00F968B9"/>
    <w:rsid w:val="00FA5DDA"/>
    <w:rsid w:val="00FC555C"/>
    <w:rsid w:val="00FE56CF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8E72"/>
  <w15:chartTrackingRefBased/>
  <w15:docId w15:val="{9BC91093-FE9E-4FFB-8B7A-F669AFC6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25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25BF"/>
    <w:rPr>
      <w:sz w:val="20"/>
      <w:szCs w:val="20"/>
    </w:rPr>
  </w:style>
  <w:style w:type="paragraph" w:styleId="a7">
    <w:name w:val="List Paragraph"/>
    <w:basedOn w:val="a"/>
    <w:uiPriority w:val="34"/>
    <w:qFormat/>
    <w:rsid w:val="00960AA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D6E0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6E04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Yip</dc:creator>
  <cp:keywords/>
  <dc:description/>
  <cp:lastModifiedBy>User</cp:lastModifiedBy>
  <cp:revision>4</cp:revision>
  <cp:lastPrinted>2018-09-24T06:22:00Z</cp:lastPrinted>
  <dcterms:created xsi:type="dcterms:W3CDTF">2018-09-27T08:23:00Z</dcterms:created>
  <dcterms:modified xsi:type="dcterms:W3CDTF">2018-09-27T08:30:00Z</dcterms:modified>
</cp:coreProperties>
</file>